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w:t>
      </w:r>
      <w:proofErr w:type="spellStart"/>
      <w:r w:rsidRPr="00B7050F">
        <w:rPr>
          <w:rFonts w:asciiTheme="minorHAnsi" w:hAnsiTheme="minorHAnsi" w:cs="Arial"/>
          <w:b/>
          <w:bCs/>
          <w:sz w:val="20"/>
          <w:lang w:val="sk-SK"/>
        </w:rPr>
        <w:t>podopatrenie</w:t>
      </w:r>
      <w:proofErr w:type="spellEnd"/>
      <w:r w:rsidRPr="00B7050F">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číslo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názov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nariadenia Komisie (EÚ) č. 1407/2013 z 18. decembra 2013 o uplatňovaní článkov 107 a 108 Zmluvy o fungovaní Európ</w:t>
      </w:r>
      <w:bookmarkStart w:id="0" w:name="_GoBack"/>
      <w:bookmarkEnd w:id="0"/>
      <w:r w:rsidRPr="00B7050F">
        <w:rPr>
          <w:rFonts w:asciiTheme="minorHAnsi" w:hAnsiTheme="minorHAnsi" w:cs="Arial"/>
          <w:b/>
          <w:sz w:val="20"/>
          <w:lang w:val="sk-SK"/>
        </w:rPr>
        <w:t xml:space="preserve">skej únie na pomoc </w:t>
      </w:r>
      <w:r w:rsidR="00E1252C" w:rsidRPr="00B7050F">
        <w:rPr>
          <w:rFonts w:asciiTheme="minorHAnsi" w:hAnsiTheme="minorHAnsi" w:cs="Arial"/>
          <w:b/>
          <w:sz w:val="20"/>
          <w:lang w:val="sk-SK"/>
        </w:rPr>
        <w:t xml:space="preserve">de </w:t>
      </w:r>
      <w:proofErr w:type="spellStart"/>
      <w:r w:rsidR="00E1252C" w:rsidRPr="00B7050F">
        <w:rPr>
          <w:rFonts w:asciiTheme="minorHAnsi" w:hAnsiTheme="minorHAnsi" w:cs="Arial"/>
          <w:b/>
          <w:sz w:val="20"/>
          <w:lang w:val="sk-SK"/>
        </w:rPr>
        <w:t>minimis</w:t>
      </w:r>
      <w:proofErr w:type="spellEnd"/>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B96BE5"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B96BE5"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proofErr w:type="spellStart"/>
            <w:r w:rsidRPr="00B7050F">
              <w:rPr>
                <w:rFonts w:asciiTheme="minorHAnsi" w:hAnsiTheme="minorHAnsi" w:cs="Arial"/>
                <w:bCs/>
                <w:sz w:val="20"/>
                <w:lang w:val="sk-SK"/>
              </w:rPr>
              <w:t>mikropodnik</w:t>
            </w:r>
            <w:proofErr w:type="spellEnd"/>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B96BE5"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B96BE5"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B96BE5"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B96BE5"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B96BE5"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B96BE5"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B96BE5"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B96BE5"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B96BE5"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B96BE5"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B96BE5"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w:t>
      </w:r>
      <w:proofErr w:type="spellStart"/>
      <w:r w:rsidR="004842A3" w:rsidRPr="00B7050F">
        <w:rPr>
          <w:rFonts w:asciiTheme="minorHAnsi" w:hAnsiTheme="minorHAnsi" w:cs="Arial"/>
          <w:sz w:val="20"/>
          <w:lang w:val="sk-SK"/>
        </w:rPr>
        <w:t>akvakultúry</w:t>
      </w:r>
      <w:proofErr w:type="spellEnd"/>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B96BE5"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B96BE5"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B96BE5"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B96BE5"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B96BE5"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B96BE5"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B96BE5"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B96BE5"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B96BE5"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B96BE5"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DD73" w14:textId="77777777" w:rsidR="00CE3C31" w:rsidRDefault="00CE3C31" w:rsidP="00D57E01">
      <w:r>
        <w:separator/>
      </w:r>
    </w:p>
  </w:endnote>
  <w:endnote w:type="continuationSeparator" w:id="0">
    <w:p w14:paraId="567F98E1" w14:textId="77777777" w:rsidR="00CE3C31" w:rsidRDefault="00CE3C31" w:rsidP="00D57E01">
      <w:r>
        <w:continuationSeparator/>
      </w:r>
    </w:p>
  </w:endnote>
  <w:endnote w:type="continuationNotice" w:id="1">
    <w:p w14:paraId="69EE84F4" w14:textId="77777777" w:rsidR="00CE3C31" w:rsidRDefault="00CE3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BCD1" w14:textId="77777777" w:rsidR="00CE3C31" w:rsidRDefault="00CE3C31" w:rsidP="00D57E01">
      <w:r>
        <w:separator/>
      </w:r>
    </w:p>
  </w:footnote>
  <w:footnote w:type="continuationSeparator" w:id="0">
    <w:p w14:paraId="6070DDF6" w14:textId="77777777" w:rsidR="00CE3C31" w:rsidRDefault="00CE3C31" w:rsidP="00D57E01">
      <w:r>
        <w:continuationSeparator/>
      </w:r>
    </w:p>
  </w:footnote>
  <w:footnote w:type="continuationNotice" w:id="1">
    <w:p w14:paraId="50FFCA48" w14:textId="77777777" w:rsidR="00CE3C31" w:rsidRDefault="00CE3C31"/>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w:t>
      </w:r>
      <w:r w:rsidRPr="00FE24ED">
        <w:rPr>
          <w:rFonts w:ascii="Calibri" w:hAnsi="Calibri" w:cs="Calibri"/>
          <w:sz w:val="14"/>
          <w:szCs w:val="14"/>
          <w:lang w:val="sk-SK"/>
        </w:rPr>
        <w:t>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 xml:space="preserve">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proofErr w:type="spellStart"/>
      <w:r w:rsidRPr="00FE24ED">
        <w:rPr>
          <w:rFonts w:ascii="Calibri" w:hAnsi="Calibri" w:cs="Calibri"/>
          <w:sz w:val="14"/>
          <w:szCs w:val="14"/>
          <w:lang w:val="sk-SK"/>
        </w:rPr>
        <w:t>akvakultúry</w:t>
      </w:r>
      <w:proofErr w:type="spellEnd"/>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w:t>
      </w:r>
      <w:proofErr w:type="spellStart"/>
      <w:r w:rsidRPr="00FE24ED">
        <w:rPr>
          <w:rFonts w:ascii="Calibri" w:hAnsi="Calibri" w:cs="Calibri"/>
          <w:sz w:val="14"/>
          <w:szCs w:val="14"/>
          <w:lang w:val="sk-SK"/>
        </w:rPr>
        <w:t>minimis</w:t>
      </w:r>
      <w:proofErr w:type="spellEnd"/>
      <w:r w:rsidRPr="00FE24ED">
        <w:rPr>
          <w:rFonts w:ascii="Calibri" w:hAnsi="Calibri" w:cs="Calibri"/>
          <w:sz w:val="14"/>
          <w:szCs w:val="14"/>
          <w:lang w:val="sk-SK"/>
        </w:rPr>
        <w:t xml:space="preserve">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rPr>
        <w:t>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w:t>
      </w:r>
      <w:r w:rsidRPr="00FE24ED">
        <w:rPr>
          <w:rFonts w:ascii="Calibri" w:hAnsi="Calibri" w:cs="Calibri"/>
          <w:sz w:val="14"/>
          <w:szCs w:val="14"/>
          <w:lang w:val="sk-SK"/>
        </w:rPr>
        <w:t>§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rPr>
        <w:t>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proofErr w:type="spellStart"/>
      <w:r w:rsidRPr="00FE24ED">
        <w:rPr>
          <w:rFonts w:ascii="Calibri" w:hAnsi="Calibri" w:cs="Calibri"/>
          <w:sz w:val="14"/>
          <w:szCs w:val="14"/>
        </w:rPr>
        <w:t>lo</w:t>
      </w:r>
      <w:proofErr w:type="spellEnd"/>
      <w:r w:rsidRPr="00FE24ED">
        <w:rPr>
          <w:rFonts w:ascii="Calibri" w:hAnsi="Calibri" w:cs="Calibri"/>
          <w:sz w:val="14"/>
          <w:szCs w:val="14"/>
        </w:rPr>
        <w:t xml:space="preserve">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proofErr w:type="spellEnd"/>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proofErr w:type="spellEnd"/>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proofErr w:type="spellStart"/>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proofErr w:type="spellEnd"/>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proofErr w:type="spellStart"/>
      <w:r w:rsidRPr="00FE24ED">
        <w:rPr>
          <w:rFonts w:ascii="Calibri" w:hAnsi="Calibri" w:cs="Calibri"/>
          <w:sz w:val="14"/>
          <w:szCs w:val="14"/>
        </w:rPr>
        <w:t>tu</w:t>
      </w:r>
      <w:r w:rsidRPr="00FE24ED">
        <w:rPr>
          <w:rFonts w:ascii="Calibri" w:hAnsi="Calibri" w:cs="Calibri"/>
          <w:sz w:val="14"/>
          <w:szCs w:val="14"/>
          <w:lang w:val="sk-SK"/>
        </w:rPr>
        <w:t>mu</w:t>
      </w:r>
      <w:proofErr w:type="spellEnd"/>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proofErr w:type="spellEnd"/>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proofErr w:type="spellStart"/>
      <w:r w:rsidR="00372ADA" w:rsidRPr="00FE24ED">
        <w:rPr>
          <w:rFonts w:ascii="Calibri" w:hAnsi="Calibri" w:cs="Calibri"/>
          <w:sz w:val="14"/>
          <w:szCs w:val="14"/>
          <w:lang w:val="sk-SK"/>
        </w:rPr>
        <w:t>N</w:t>
      </w:r>
      <w:r w:rsidRPr="00FE24ED">
        <w:rPr>
          <w:rFonts w:ascii="Calibri" w:hAnsi="Calibri" w:cs="Calibri"/>
          <w:sz w:val="14"/>
          <w:szCs w:val="14"/>
          <w:lang w:val="sk-SK"/>
        </w:rPr>
        <w:t>ehodiace</w:t>
      </w:r>
      <w:proofErr w:type="spellEnd"/>
      <w:r w:rsidRPr="00FE24ED">
        <w:rPr>
          <w:rFonts w:ascii="Calibri" w:hAnsi="Calibri" w:cs="Calibri"/>
          <w:sz w:val="14"/>
          <w:szCs w:val="14"/>
          <w:lang w:val="sk-SK"/>
        </w:rPr>
        <w:t xml:space="preserv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Siln"/>
          <w:rFonts w:ascii="Calibri" w:hAnsi="Calibri" w:cs="Calibri"/>
          <w:b w:val="0"/>
          <w:sz w:val="14"/>
          <w:szCs w:val="14"/>
        </w:rPr>
        <w:t>Nariadenie Európskeho parlamentu a Rady (EÚ) č. 1379/2013 z  11. decembra 2013 o spoločnej organizácii trhov s produktmi rybolovu a </w:t>
      </w:r>
      <w:proofErr w:type="spellStart"/>
      <w:r w:rsidR="00372ADA" w:rsidRPr="00FE24ED">
        <w:rPr>
          <w:rStyle w:val="Siln"/>
          <w:rFonts w:ascii="Calibri" w:hAnsi="Calibri" w:cs="Calibri"/>
          <w:b w:val="0"/>
          <w:sz w:val="14"/>
          <w:szCs w:val="14"/>
        </w:rPr>
        <w:t>akvakultúry</w:t>
      </w:r>
      <w:proofErr w:type="spellEnd"/>
      <w:r w:rsidR="00372ADA" w:rsidRPr="00FE24ED">
        <w:rPr>
          <w:rStyle w:val="Siln"/>
          <w:rFonts w:ascii="Calibri" w:hAnsi="Calibri" w:cs="Calibri"/>
          <w:b w:val="0"/>
          <w:sz w:val="14"/>
          <w:szCs w:val="14"/>
        </w:rPr>
        <w:t>, ktorým sa menia nariadenia Rady (ES) č. 1184/2006 a (ES) č. 1224/2009 a zrušuje nariadenie Rady (ES) č. 104/2000</w:t>
      </w:r>
      <w:r w:rsidR="00372ADA" w:rsidRPr="00FE24ED">
        <w:rPr>
          <w:rStyle w:val="Sil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3132-7344-41D4-9098-E1B3238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IK</cp:lastModifiedBy>
  <cp:revision>12</cp:revision>
  <cp:lastPrinted>2017-10-09T10:58:00Z</cp:lastPrinted>
  <dcterms:created xsi:type="dcterms:W3CDTF">2018-11-23T07:49:00Z</dcterms:created>
  <dcterms:modified xsi:type="dcterms:W3CDTF">2019-03-20T14:18:00Z</dcterms:modified>
</cp:coreProperties>
</file>